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7AD6C" w14:textId="1EDFFAAA" w:rsidR="004E3FEA" w:rsidRPr="00C5488A" w:rsidRDefault="00782E5B" w:rsidP="001E200A">
      <w:pPr>
        <w:pageBreakBefore/>
        <w:spacing w:after="0" w:line="276" w:lineRule="auto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(</w:t>
      </w:r>
      <w:r w:rsidR="00E073A2">
        <w:rPr>
          <w:rFonts w:ascii="Titillium" w:hAnsi="Titillium" w:cs="Times New Roman"/>
          <w:sz w:val="20"/>
          <w:szCs w:val="20"/>
        </w:rPr>
        <w:t xml:space="preserve">NUCLEO DI VALUTAZIONE DEL COMUNE DI </w:t>
      </w:r>
      <w:r w:rsidR="00F24F3A">
        <w:rPr>
          <w:rFonts w:ascii="Titillium" w:hAnsi="Titillium" w:cs="Times New Roman"/>
          <w:sz w:val="20"/>
          <w:szCs w:val="20"/>
        </w:rPr>
        <w:t>CARLOFORTE</w:t>
      </w:r>
      <w:r w:rsidRPr="00C5488A">
        <w:rPr>
          <w:rFonts w:ascii="Titillium" w:hAnsi="Titillium" w:cs="Times New Roman"/>
          <w:sz w:val="20"/>
          <w:szCs w:val="20"/>
        </w:rPr>
        <w:t>)</w:t>
      </w:r>
    </w:p>
    <w:p w14:paraId="73450E0E" w14:textId="77777777" w:rsidR="00764C40" w:rsidRPr="00C5488A" w:rsidRDefault="00764C40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3B3918CF" w14:textId="77777777"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1879A26E" w14:textId="160C64A6" w:rsidR="004E3FEA" w:rsidRPr="00987C24" w:rsidRDefault="00E073A2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 xml:space="preserve">Il Nucleo di Valutazione del comune di </w:t>
      </w:r>
      <w:r w:rsidR="00F24F3A">
        <w:rPr>
          <w:rFonts w:ascii="Titillium" w:hAnsi="Titillium" w:cs="Times New Roman"/>
          <w:sz w:val="20"/>
          <w:szCs w:val="20"/>
        </w:rPr>
        <w:t>CARLOFORTE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>ha effettuato</w:t>
      </w:r>
      <w:r w:rsidR="00DA74D8" w:rsidRPr="00C5488A">
        <w:rPr>
          <w:rFonts w:ascii="Titillium" w:hAnsi="Titillium" w:cs="Times New Roman"/>
          <w:sz w:val="20"/>
          <w:szCs w:val="20"/>
        </w:rPr>
        <w:t>,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ai sensi dell’art. 14, co. 4, lett. g), del d.lgs. n. 150/2009 e delle </w:t>
      </w:r>
      <w:r w:rsidR="00DA74D8"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C5488A">
        <w:rPr>
          <w:rFonts w:ascii="Titillium" w:hAnsi="Titillium" w:cs="Times New Roman"/>
          <w:b/>
          <w:sz w:val="20"/>
          <w:szCs w:val="20"/>
        </w:rPr>
        <w:t xml:space="preserve">n. </w:t>
      </w:r>
      <w:r w:rsidR="00084790" w:rsidRPr="00C5488A">
        <w:rPr>
          <w:rFonts w:ascii="Titillium" w:hAnsi="Titillium" w:cs="Times New Roman"/>
          <w:b/>
          <w:sz w:val="20"/>
          <w:szCs w:val="20"/>
        </w:rPr>
        <w:t>294/</w:t>
      </w:r>
      <w:r w:rsidR="003526DB" w:rsidRPr="00C5488A">
        <w:rPr>
          <w:rFonts w:ascii="Titillium" w:hAnsi="Titillium" w:cs="Times New Roman"/>
          <w:b/>
          <w:sz w:val="20"/>
          <w:szCs w:val="20"/>
        </w:rPr>
        <w:t>202</w:t>
      </w:r>
      <w:r w:rsidR="00A30748" w:rsidRPr="00C5488A">
        <w:rPr>
          <w:rFonts w:ascii="Titillium" w:hAnsi="Titillium" w:cs="Times New Roman"/>
          <w:b/>
          <w:sz w:val="20"/>
          <w:szCs w:val="20"/>
        </w:rPr>
        <w:t>1</w:t>
      </w:r>
      <w:r w:rsidR="003526DB"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documento, dato ed infor</w:t>
      </w:r>
      <w:r w:rsidR="009517B8" w:rsidRPr="00987C24">
        <w:rPr>
          <w:rFonts w:ascii="Titillium" w:hAnsi="Titillium" w:cs="Times New Roman"/>
          <w:color w:val="000000" w:themeColor="text1"/>
          <w:sz w:val="20"/>
          <w:szCs w:val="20"/>
        </w:rPr>
        <w:t>mazione elencati nell’Allegato 2</w:t>
      </w:r>
      <w:r w:rsidR="004869E2" w:rsidRPr="00987C24">
        <w:rPr>
          <w:rFonts w:ascii="Titillium" w:hAnsi="Titillium" w:cs="Times New Roman"/>
          <w:color w:val="000000" w:themeColor="text1"/>
          <w:sz w:val="20"/>
          <w:szCs w:val="20"/>
        </w:rPr>
        <w:t>.1</w:t>
      </w:r>
      <w:r w:rsidR="00EF3010" w:rsidRPr="00987C24">
        <w:rPr>
          <w:rFonts w:ascii="Titillium" w:hAnsi="Titillium" w:cs="Times New Roman"/>
          <w:color w:val="000000" w:themeColor="text1"/>
          <w:sz w:val="20"/>
          <w:szCs w:val="20"/>
        </w:rPr>
        <w:t>.A (e Allegato 2.1.B per amministrazioni ed enti con uffici periferici)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– Griglia di rilevazione al </w:t>
      </w:r>
      <w:r w:rsidR="00167FEA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>31 maggio</w:t>
      </w:r>
      <w:r w:rsidR="00A30748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2021</w:t>
      </w:r>
      <w:r w:rsidR="00E70EBB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</w:t>
      </w:r>
      <w:r w:rsidR="006457A5" w:rsidRPr="00987C24">
        <w:rPr>
          <w:rFonts w:ascii="Titillium" w:hAnsi="Titillium" w:cs="Times New Roman"/>
          <w:color w:val="000000" w:themeColor="text1"/>
          <w:sz w:val="20"/>
          <w:szCs w:val="20"/>
        </w:rPr>
        <w:t>della delibera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n. </w:t>
      </w:r>
      <w:r w:rsidR="00084790" w:rsidRPr="00987C24">
        <w:rPr>
          <w:rFonts w:ascii="Titillium" w:hAnsi="Titillium" w:cs="Times New Roman"/>
          <w:color w:val="000000" w:themeColor="text1"/>
          <w:sz w:val="20"/>
          <w:szCs w:val="20"/>
        </w:rPr>
        <w:t>294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>1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.</w:t>
      </w:r>
    </w:p>
    <w:p w14:paraId="0D5918A7" w14:textId="163346DE" w:rsidR="004869E2" w:rsidRPr="00E073A2" w:rsidRDefault="00E073A2" w:rsidP="00E073A2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Il Nucleo di Valutazione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</w:t>
      </w:r>
      <w:r w:rsidR="004869E2" w:rsidRPr="00E073A2">
        <w:rPr>
          <w:rFonts w:ascii="Titillium" w:hAnsi="Titillium" w:cs="Times New Roman"/>
          <w:sz w:val="20"/>
          <w:szCs w:val="20"/>
        </w:rPr>
        <w:t>ha svolto gli accertamenti:</w:t>
      </w:r>
    </w:p>
    <w:p w14:paraId="2E13651C" w14:textId="77777777" w:rsidR="004869E2" w:rsidRPr="00C5488A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>trasparenza ai sensi dell’art. 43, 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14:paraId="391A9D9E" w14:textId="77777777" w:rsidR="004869E2" w:rsidRPr="00E073A2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trike/>
          <w:sz w:val="20"/>
          <w:szCs w:val="20"/>
        </w:rPr>
      </w:pPr>
      <w:r w:rsidRPr="00E073A2">
        <w:rPr>
          <w:rFonts w:ascii="Courier New" w:hAnsi="Courier New" w:cs="Courier New"/>
          <w:strike/>
          <w:sz w:val="20"/>
          <w:szCs w:val="20"/>
        </w:rPr>
        <w:t>□</w:t>
      </w:r>
      <w:r w:rsidRPr="00E073A2">
        <w:rPr>
          <w:rFonts w:ascii="Titillium" w:hAnsi="Titillium" w:cs="Times New Roman"/>
          <w:strike/>
          <w:sz w:val="20"/>
          <w:szCs w:val="20"/>
        </w:rPr>
        <w:t xml:space="preserve"> in assenza del </w:t>
      </w:r>
      <w:r w:rsidR="00A01D67" w:rsidRPr="00E073A2">
        <w:rPr>
          <w:rFonts w:ascii="Titillium" w:hAnsi="Titillium" w:cs="Times New Roman"/>
          <w:strike/>
          <w:sz w:val="20"/>
          <w:szCs w:val="20"/>
        </w:rPr>
        <w:t>Responsabile della prevenzione della</w:t>
      </w:r>
      <w:r w:rsidR="00CE4B1E" w:rsidRPr="00E073A2">
        <w:rPr>
          <w:rFonts w:ascii="Titillium" w:hAnsi="Titillium" w:cs="Times New Roman"/>
          <w:strike/>
          <w:sz w:val="20"/>
          <w:szCs w:val="20"/>
        </w:rPr>
        <w:t xml:space="preserve"> corruzione e della trasparenza </w:t>
      </w:r>
      <w:r w:rsidR="00A01D67" w:rsidRPr="00E073A2">
        <w:rPr>
          <w:rFonts w:ascii="Titillium" w:hAnsi="Titillium" w:cs="Times New Roman"/>
          <w:strike/>
          <w:sz w:val="20"/>
          <w:szCs w:val="20"/>
        </w:rPr>
        <w:t xml:space="preserve">gli accertamenti sono stati svolti solo dall’OIV/ altro </w:t>
      </w:r>
      <w:r w:rsidR="001F4C4E" w:rsidRPr="00E073A2">
        <w:rPr>
          <w:rFonts w:ascii="Titillium" w:hAnsi="Titillium" w:cs="Times New Roman"/>
          <w:strike/>
          <w:sz w:val="20"/>
          <w:szCs w:val="20"/>
        </w:rPr>
        <w:t>Organismo</w:t>
      </w:r>
      <w:r w:rsidR="007F0BC7" w:rsidRPr="00E073A2">
        <w:rPr>
          <w:rFonts w:ascii="Titillium" w:hAnsi="Titillium" w:cs="Times New Roman"/>
          <w:strike/>
          <w:sz w:val="20"/>
          <w:szCs w:val="20"/>
        </w:rPr>
        <w:t>/soggetto</w:t>
      </w:r>
      <w:r w:rsidR="00747FDE" w:rsidRPr="00E073A2">
        <w:rPr>
          <w:rFonts w:ascii="Titillium" w:hAnsi="Titillium" w:cs="Times New Roman"/>
          <w:strike/>
          <w:sz w:val="20"/>
          <w:szCs w:val="20"/>
        </w:rPr>
        <w:t xml:space="preserve"> con funzioni analoghe</w:t>
      </w:r>
      <w:r w:rsidR="007F0BC7" w:rsidRPr="00E073A2">
        <w:rPr>
          <w:rFonts w:ascii="Titillium" w:hAnsi="Titillium" w:cs="Times New Roman"/>
          <w:strike/>
          <w:sz w:val="20"/>
          <w:szCs w:val="20"/>
        </w:rPr>
        <w:t>.</w:t>
      </w:r>
    </w:p>
    <w:p w14:paraId="4D1D83F3" w14:textId="17DAF106" w:rsidR="004E3FEA" w:rsidRPr="00C5488A" w:rsidRDefault="00782E5B" w:rsidP="001E200A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</w:t>
      </w:r>
      <w:r w:rsidR="00E073A2"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>, ai sensi dell’art. 14, 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14:paraId="5EEEFFB3" w14:textId="77777777" w:rsidR="00674A85" w:rsidRPr="00C5488A" w:rsidRDefault="00674A85" w:rsidP="00F24F3A">
      <w:pPr>
        <w:spacing w:before="120" w:after="0" w:line="276" w:lineRule="auto"/>
        <w:rPr>
          <w:rFonts w:ascii="Titillium" w:hAnsi="Titillium" w:cs="Times New Roman"/>
          <w:b/>
          <w:sz w:val="20"/>
          <w:szCs w:val="20"/>
        </w:rPr>
      </w:pPr>
    </w:p>
    <w:p w14:paraId="11D4538B" w14:textId="77777777"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14:paraId="1995B15F" w14:textId="77777777" w:rsidR="000B7CB8" w:rsidRPr="00C5488A" w:rsidRDefault="00851A73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A01D67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>amministrazione/ente</w:t>
      </w:r>
      <w:r w:rsidR="0027396B" w:rsidRPr="00C5488A">
        <w:rPr>
          <w:rFonts w:ascii="Titillium" w:hAnsi="Titillium"/>
          <w:sz w:val="20"/>
          <w:szCs w:val="20"/>
        </w:rPr>
        <w:t xml:space="preserve"> ha</w:t>
      </w:r>
      <w:r w:rsidRPr="00C5488A">
        <w:rPr>
          <w:rFonts w:ascii="Titillium" w:hAnsi="Titillium"/>
          <w:sz w:val="20"/>
          <w:szCs w:val="20"/>
        </w:rPr>
        <w:t xml:space="preserve"> individuato </w:t>
      </w:r>
      <w:r w:rsidR="00A01D67" w:rsidRPr="00C5488A">
        <w:rPr>
          <w:rFonts w:ascii="Titillium" w:hAnsi="Titillium"/>
          <w:sz w:val="20"/>
          <w:szCs w:val="20"/>
        </w:rPr>
        <w:t xml:space="preserve">misure organizzative </w:t>
      </w:r>
      <w:r w:rsidR="0027396B" w:rsidRPr="00C5488A">
        <w:rPr>
          <w:rFonts w:ascii="Titillium" w:hAnsi="Titillium"/>
          <w:sz w:val="20"/>
          <w:szCs w:val="20"/>
        </w:rPr>
        <w:t>che assicurano</w:t>
      </w:r>
      <w:r w:rsidR="00A01D67" w:rsidRPr="00C5488A">
        <w:rPr>
          <w:rFonts w:ascii="Titillium" w:hAnsi="Titillium"/>
          <w:sz w:val="20"/>
          <w:szCs w:val="20"/>
        </w:rPr>
        <w:t xml:space="preserve"> il regolare funzionamento dei flussi informativi </w:t>
      </w:r>
      <w:r w:rsidR="0027396B" w:rsidRPr="00C5488A">
        <w:rPr>
          <w:rFonts w:ascii="Titillium" w:hAnsi="Titillium"/>
          <w:sz w:val="20"/>
          <w:szCs w:val="20"/>
        </w:rPr>
        <w:t>per la</w:t>
      </w:r>
      <w:r w:rsidR="00A01D67" w:rsidRPr="00C5488A">
        <w:rPr>
          <w:rFonts w:ascii="Titillium" w:hAnsi="Titillium"/>
          <w:sz w:val="20"/>
          <w:szCs w:val="20"/>
        </w:rPr>
        <w:t xml:space="preserve"> pubblicazione dei dati nella sezione “</w:t>
      </w:r>
      <w:r w:rsidR="00A01D67" w:rsidRPr="00C5488A">
        <w:rPr>
          <w:rFonts w:ascii="Titillium" w:hAnsi="Titillium"/>
          <w:i/>
          <w:sz w:val="20"/>
          <w:szCs w:val="20"/>
        </w:rPr>
        <w:t>Amministrazione trasparente</w:t>
      </w:r>
      <w:r w:rsidR="00A01D67" w:rsidRPr="00C5488A">
        <w:rPr>
          <w:rFonts w:ascii="Titillium" w:hAnsi="Titillium"/>
          <w:sz w:val="20"/>
          <w:szCs w:val="20"/>
        </w:rPr>
        <w:t>”</w:t>
      </w:r>
      <w:r w:rsidR="000B7CB8" w:rsidRPr="00C5488A">
        <w:rPr>
          <w:rFonts w:ascii="Titillium" w:hAnsi="Titillium"/>
          <w:sz w:val="20"/>
          <w:szCs w:val="20"/>
        </w:rPr>
        <w:t>;</w:t>
      </w:r>
    </w:p>
    <w:p w14:paraId="1EC253FE" w14:textId="77777777" w:rsidR="00602524" w:rsidRPr="00C5488A" w:rsidRDefault="00602524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 xml:space="preserve"> </w:t>
      </w:r>
      <w:r w:rsidRPr="00E073A2">
        <w:rPr>
          <w:rFonts w:ascii="Titillium" w:hAnsi="Titillium"/>
          <w:caps/>
          <w:strike/>
          <w:sz w:val="20"/>
          <w:szCs w:val="20"/>
        </w:rPr>
        <w:t>l’</w:t>
      </w:r>
      <w:r w:rsidRPr="00E073A2">
        <w:rPr>
          <w:rFonts w:ascii="Titillium" w:hAnsi="Titillium"/>
          <w:strike/>
          <w:sz w:val="20"/>
          <w:szCs w:val="20"/>
        </w:rPr>
        <w:t xml:space="preserve">amministrazione/ente </w:t>
      </w:r>
      <w:r w:rsidRPr="00E073A2">
        <w:rPr>
          <w:rFonts w:ascii="Titillium" w:hAnsi="Titillium"/>
          <w:strike/>
          <w:sz w:val="20"/>
          <w:szCs w:val="20"/>
          <w:u w:val="single"/>
        </w:rPr>
        <w:t>NON</w:t>
      </w:r>
      <w:r w:rsidRPr="00E073A2">
        <w:rPr>
          <w:rFonts w:ascii="Titillium" w:hAnsi="Titillium"/>
          <w:strike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 w:rsidRPr="00E073A2">
        <w:rPr>
          <w:rFonts w:ascii="Titillium" w:hAnsi="Titillium"/>
          <w:i/>
          <w:strike/>
          <w:sz w:val="20"/>
          <w:szCs w:val="20"/>
        </w:rPr>
        <w:t>Amministrazione trasparente”;</w:t>
      </w:r>
    </w:p>
    <w:p w14:paraId="201CFFE2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</w:p>
    <w:p w14:paraId="139134F4" w14:textId="77777777" w:rsidR="004E3FEA" w:rsidRPr="00C5488A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F81E69" w:rsidRPr="00C5488A">
        <w:rPr>
          <w:rFonts w:ascii="Titillium" w:hAnsi="Titillium"/>
          <w:sz w:val="20"/>
          <w:szCs w:val="20"/>
        </w:rPr>
        <w:t xml:space="preserve"> </w:t>
      </w:r>
      <w:r w:rsidR="007F0BC7"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44A942CA" w14:textId="77777777" w:rsidR="004619A1" w:rsidRPr="00E073A2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trike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E073A2">
        <w:rPr>
          <w:rFonts w:ascii="Titillium" w:hAnsi="Titillium"/>
          <w:caps/>
          <w:strike/>
          <w:sz w:val="20"/>
          <w:szCs w:val="20"/>
        </w:rPr>
        <w:t>l’</w:t>
      </w:r>
      <w:r w:rsidRPr="00E073A2">
        <w:rPr>
          <w:rFonts w:ascii="Titillium" w:hAnsi="Titillium"/>
          <w:strike/>
          <w:sz w:val="20"/>
          <w:szCs w:val="20"/>
        </w:rPr>
        <w:t xml:space="preserve">amministrazione/ente </w:t>
      </w:r>
      <w:r w:rsidRPr="00E073A2">
        <w:rPr>
          <w:rFonts w:ascii="Titillium" w:hAnsi="Titillium"/>
          <w:strike/>
          <w:sz w:val="20"/>
          <w:szCs w:val="20"/>
          <w:u w:val="single"/>
        </w:rPr>
        <w:t>NON</w:t>
      </w:r>
      <w:r w:rsidRPr="00E073A2">
        <w:rPr>
          <w:rFonts w:ascii="Titillium" w:hAnsi="Titillium"/>
          <w:strike/>
          <w:sz w:val="20"/>
          <w:szCs w:val="20"/>
        </w:rPr>
        <w:t xml:space="preserve"> ha individuato </w:t>
      </w:r>
      <w:r w:rsidR="00F81E69" w:rsidRPr="00E073A2">
        <w:rPr>
          <w:rFonts w:ascii="Titillium" w:hAnsi="Titillium"/>
          <w:strike/>
          <w:sz w:val="20"/>
          <w:szCs w:val="20"/>
        </w:rPr>
        <w:t>nel</w:t>
      </w:r>
      <w:r w:rsidR="00BF1924" w:rsidRPr="00E073A2">
        <w:rPr>
          <w:rFonts w:ascii="Titillium" w:hAnsi="Titillium"/>
          <w:strike/>
          <w:sz w:val="20"/>
          <w:szCs w:val="20"/>
        </w:rPr>
        <w:t>la sezione Trasparenza del PTPC</w:t>
      </w:r>
      <w:r w:rsidR="00893412" w:rsidRPr="00E073A2">
        <w:rPr>
          <w:rFonts w:ascii="Titillium" w:hAnsi="Titillium"/>
          <w:strike/>
          <w:sz w:val="20"/>
          <w:szCs w:val="20"/>
        </w:rPr>
        <w:t>T</w:t>
      </w:r>
      <w:r w:rsidR="00F81E69" w:rsidRPr="00E073A2">
        <w:rPr>
          <w:rFonts w:ascii="Titillium" w:hAnsi="Titillium"/>
          <w:strike/>
          <w:sz w:val="20"/>
          <w:szCs w:val="20"/>
        </w:rPr>
        <w:t xml:space="preserve"> </w:t>
      </w:r>
      <w:r w:rsidRPr="00E073A2">
        <w:rPr>
          <w:rFonts w:ascii="Titillium" w:hAnsi="Titillium"/>
          <w:strike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2C742A88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7F907380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sz w:val="20"/>
          <w:szCs w:val="20"/>
        </w:rPr>
        <w:t xml:space="preserve"> 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ricerche all’interno della sezione AT, salvo le ipotesi consentite dalla normativa vigente;</w:t>
      </w:r>
    </w:p>
    <w:p w14:paraId="63ABFC5E" w14:textId="77777777" w:rsidR="004619A1" w:rsidRPr="00E073A2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sz w:val="20"/>
          <w:szCs w:val="20"/>
        </w:rPr>
        <w:t xml:space="preserve"> </w:t>
      </w:r>
      <w:r w:rsidR="004619A1" w:rsidRPr="00E073A2">
        <w:rPr>
          <w:rFonts w:ascii="Titillium" w:hAnsi="Titillium"/>
          <w:caps/>
          <w:sz w:val="20"/>
          <w:szCs w:val="20"/>
        </w:rPr>
        <w:t>L’</w:t>
      </w:r>
      <w:r w:rsidRPr="00E073A2">
        <w:rPr>
          <w:rFonts w:ascii="Titillium" w:hAnsi="Titillium"/>
          <w:sz w:val="20"/>
          <w:szCs w:val="20"/>
        </w:rPr>
        <w:t xml:space="preserve">amministrazione/ente </w:t>
      </w:r>
      <w:r w:rsidR="004619A1" w:rsidRPr="00E073A2">
        <w:rPr>
          <w:rFonts w:ascii="Titillium" w:hAnsi="Titillium"/>
          <w:sz w:val="20"/>
          <w:szCs w:val="20"/>
        </w:rPr>
        <w:t>ha disposto filtri</w:t>
      </w:r>
      <w:r w:rsidRPr="00E073A2">
        <w:rPr>
          <w:rFonts w:ascii="Titillium" w:hAnsi="Titillium"/>
          <w:sz w:val="20"/>
          <w:szCs w:val="20"/>
        </w:rPr>
        <w:t xml:space="preserve"> </w:t>
      </w:r>
      <w:r w:rsidR="00FB22A4" w:rsidRPr="00E073A2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E073A2">
        <w:rPr>
          <w:rFonts w:ascii="Titillium" w:hAnsi="Titillium"/>
          <w:sz w:val="20"/>
          <w:szCs w:val="20"/>
        </w:rPr>
        <w:t>altre soluzioni tecniche atte ad impedire ai motori</w:t>
      </w:r>
      <w:r w:rsidR="00E703E1" w:rsidRPr="00E073A2">
        <w:rPr>
          <w:rFonts w:ascii="Titillium" w:hAnsi="Titillium"/>
          <w:sz w:val="20"/>
          <w:szCs w:val="20"/>
        </w:rPr>
        <w:t xml:space="preserve"> </w:t>
      </w:r>
      <w:r w:rsidR="004619A1" w:rsidRPr="00E073A2">
        <w:rPr>
          <w:rFonts w:ascii="Titillium" w:hAnsi="Titillium"/>
          <w:sz w:val="20"/>
          <w:szCs w:val="20"/>
        </w:rPr>
        <w:t xml:space="preserve">di ricerca </w:t>
      </w:r>
      <w:r w:rsidR="004619A1" w:rsidRPr="00E073A2">
        <w:rPr>
          <w:rFonts w:ascii="Titillium" w:hAnsi="Titillium"/>
          <w:i/>
          <w:sz w:val="20"/>
          <w:szCs w:val="20"/>
        </w:rPr>
        <w:lastRenderedPageBreak/>
        <w:t>web</w:t>
      </w:r>
      <w:r w:rsidR="004619A1" w:rsidRPr="00E073A2">
        <w:rPr>
          <w:rFonts w:ascii="Titillium" w:hAnsi="Titillium"/>
          <w:sz w:val="20"/>
          <w:szCs w:val="20"/>
        </w:rPr>
        <w:t xml:space="preserve"> di indicizzare ed effettuare ricerc</w:t>
      </w:r>
      <w:r w:rsidR="00931D8D" w:rsidRPr="00E073A2">
        <w:rPr>
          <w:rFonts w:ascii="Titillium" w:hAnsi="Titillium"/>
          <w:sz w:val="20"/>
          <w:szCs w:val="20"/>
        </w:rPr>
        <w:t>he all’interno della sezione AT.</w:t>
      </w:r>
    </w:p>
    <w:p w14:paraId="57FDA08D" w14:textId="77777777" w:rsidR="00E5425E" w:rsidRPr="00C5488A" w:rsidRDefault="00E5425E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38052B79" w14:textId="77777777"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39618A2A" w14:textId="77777777"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="00066D41"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dell’amministrazione/</w:t>
      </w:r>
      <w:r w:rsidRPr="00C5488A">
        <w:rPr>
          <w:rFonts w:ascii="Titillium" w:hAnsi="Titillium"/>
          <w:sz w:val="20"/>
          <w:szCs w:val="20"/>
        </w:rPr>
        <w:t>ente.</w:t>
      </w:r>
    </w:p>
    <w:p w14:paraId="6DFE327D" w14:textId="77777777"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14:paraId="38501D67" w14:textId="1A4520E7" w:rsidR="00E073A2" w:rsidRPr="00C5488A" w:rsidRDefault="00782E5B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Data</w:t>
      </w:r>
      <w:r w:rsidR="00E073A2">
        <w:rPr>
          <w:rFonts w:ascii="Titillium" w:hAnsi="Titillium" w:cs="Times New Roman"/>
          <w:sz w:val="20"/>
          <w:szCs w:val="20"/>
        </w:rPr>
        <w:t xml:space="preserve"> 2</w:t>
      </w:r>
      <w:r w:rsidR="004D6B5F">
        <w:rPr>
          <w:rFonts w:ascii="Titillium" w:hAnsi="Titillium" w:cs="Times New Roman"/>
          <w:sz w:val="20"/>
          <w:szCs w:val="20"/>
        </w:rPr>
        <w:t>8</w:t>
      </w:r>
      <w:r w:rsidR="00E073A2">
        <w:rPr>
          <w:rFonts w:ascii="Titillium" w:hAnsi="Titillium" w:cs="Times New Roman"/>
          <w:sz w:val="20"/>
          <w:szCs w:val="20"/>
        </w:rPr>
        <w:t xml:space="preserve"> maggio 2021</w:t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</w:r>
      <w:r w:rsidR="00E073A2">
        <w:rPr>
          <w:rFonts w:ascii="Titillium" w:hAnsi="Titillium" w:cs="Times New Roman"/>
          <w:sz w:val="20"/>
          <w:szCs w:val="20"/>
        </w:rPr>
        <w:tab/>
        <w:t>dott. Oscar Gibillini</w:t>
      </w:r>
    </w:p>
    <w:p w14:paraId="1BB554B6" w14:textId="17FF1ED6" w:rsidR="004D0B49" w:rsidRPr="00EF325A" w:rsidRDefault="004D0B49" w:rsidP="004D0B49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52A678AD" w14:textId="504C5713" w:rsidR="004E3FEA" w:rsidRPr="00C5488A" w:rsidRDefault="004E3FEA" w:rsidP="004D0B49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sectPr w:rsidR="004E3FEA" w:rsidRPr="00C548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592BD" w14:textId="77777777" w:rsidR="009726CB" w:rsidRDefault="009726CB">
      <w:pPr>
        <w:spacing w:after="0" w:line="240" w:lineRule="auto"/>
      </w:pPr>
      <w:r>
        <w:separator/>
      </w:r>
    </w:p>
  </w:endnote>
  <w:endnote w:type="continuationSeparator" w:id="0">
    <w:p w14:paraId="67A52308" w14:textId="77777777" w:rsidR="009726CB" w:rsidRDefault="0097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64717" w14:textId="77777777" w:rsidR="00B91F3C" w:rsidRDefault="00B91F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4766" w14:textId="77777777" w:rsidR="00B91F3C" w:rsidRDefault="00B91F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C2A9" w14:textId="77777777" w:rsidR="00B91F3C" w:rsidRDefault="00B91F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BC0B5" w14:textId="77777777" w:rsidR="009726CB" w:rsidRDefault="009726CB">
      <w:r>
        <w:separator/>
      </w:r>
    </w:p>
  </w:footnote>
  <w:footnote w:type="continuationSeparator" w:id="0">
    <w:p w14:paraId="3CD9C07F" w14:textId="77777777" w:rsidR="009726CB" w:rsidRDefault="009726CB">
      <w:r>
        <w:continuationSeparator/>
      </w:r>
    </w:p>
  </w:footnote>
  <w:footnote w:id="1">
    <w:p w14:paraId="55CD7F79" w14:textId="77777777"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A86E" w14:textId="77777777" w:rsidR="00B91F3C" w:rsidRDefault="00B91F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C722" w14:textId="77777777"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Pr="00B91F3C">
      <w:rPr>
        <w:rFonts w:ascii="Titillium" w:hAnsi="Titillium" w:cs="Times New Roman"/>
        <w:b/>
        <w:sz w:val="20"/>
        <w:szCs w:val="20"/>
      </w:rPr>
      <w:t xml:space="preserve"> 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084790" w:rsidRPr="00B91F3C">
      <w:rPr>
        <w:rFonts w:ascii="Titillium" w:hAnsi="Titillium" w:cs="Times New Roman"/>
        <w:b/>
        <w:sz w:val="20"/>
        <w:szCs w:val="20"/>
      </w:rPr>
      <w:t>294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A30748" w:rsidRPr="00B91F3C">
      <w:rPr>
        <w:rFonts w:ascii="Titillium" w:hAnsi="Titillium" w:cs="Times New Roman"/>
        <w:b/>
        <w:sz w:val="20"/>
        <w:szCs w:val="20"/>
      </w:rPr>
      <w:t>1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</w:rPr>
      <w:t>–</w:t>
    </w:r>
    <w:r w:rsidR="00BF1924" w:rsidRPr="00B91F3C">
      <w:rPr>
        <w:rFonts w:ascii="Titillium" w:hAnsi="Titillium"/>
        <w:b/>
        <w:sz w:val="20"/>
        <w:szCs w:val="20"/>
      </w:rPr>
      <w:t xml:space="preserve"> 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9723" w14:textId="77777777" w:rsidR="00B91F3C" w:rsidRDefault="00B91F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66D41"/>
    <w:rsid w:val="00084790"/>
    <w:rsid w:val="000B0E9A"/>
    <w:rsid w:val="000B7CB8"/>
    <w:rsid w:val="000C1504"/>
    <w:rsid w:val="000C371F"/>
    <w:rsid w:val="000D5314"/>
    <w:rsid w:val="000F5BF6"/>
    <w:rsid w:val="00113654"/>
    <w:rsid w:val="001321A7"/>
    <w:rsid w:val="00167FEA"/>
    <w:rsid w:val="00193B7A"/>
    <w:rsid w:val="001C3EFA"/>
    <w:rsid w:val="001E200A"/>
    <w:rsid w:val="001E538C"/>
    <w:rsid w:val="001F4C4E"/>
    <w:rsid w:val="0027396B"/>
    <w:rsid w:val="00324847"/>
    <w:rsid w:val="003526DB"/>
    <w:rsid w:val="00417308"/>
    <w:rsid w:val="00452424"/>
    <w:rsid w:val="004619A1"/>
    <w:rsid w:val="004869E2"/>
    <w:rsid w:val="004B3307"/>
    <w:rsid w:val="004D0B49"/>
    <w:rsid w:val="004D6B5F"/>
    <w:rsid w:val="004E3FEA"/>
    <w:rsid w:val="005148C3"/>
    <w:rsid w:val="005314E6"/>
    <w:rsid w:val="005345A7"/>
    <w:rsid w:val="00592EF4"/>
    <w:rsid w:val="005E04C0"/>
    <w:rsid w:val="005E3451"/>
    <w:rsid w:val="005F5B0C"/>
    <w:rsid w:val="00600B7E"/>
    <w:rsid w:val="00602524"/>
    <w:rsid w:val="006457A5"/>
    <w:rsid w:val="006626ED"/>
    <w:rsid w:val="00674A85"/>
    <w:rsid w:val="006C4F57"/>
    <w:rsid w:val="00727F6D"/>
    <w:rsid w:val="00747FDE"/>
    <w:rsid w:val="00764C40"/>
    <w:rsid w:val="0077435D"/>
    <w:rsid w:val="00782E5B"/>
    <w:rsid w:val="007E3898"/>
    <w:rsid w:val="007F0BC7"/>
    <w:rsid w:val="00851A73"/>
    <w:rsid w:val="00863793"/>
    <w:rsid w:val="00893412"/>
    <w:rsid w:val="0092201A"/>
    <w:rsid w:val="00931D8D"/>
    <w:rsid w:val="009517B8"/>
    <w:rsid w:val="009726CB"/>
    <w:rsid w:val="00987C24"/>
    <w:rsid w:val="009B3EC4"/>
    <w:rsid w:val="009C497A"/>
    <w:rsid w:val="009D2F2E"/>
    <w:rsid w:val="009E6BB8"/>
    <w:rsid w:val="00A01D67"/>
    <w:rsid w:val="00A30748"/>
    <w:rsid w:val="00A431C2"/>
    <w:rsid w:val="00A928DF"/>
    <w:rsid w:val="00A93462"/>
    <w:rsid w:val="00AA64A3"/>
    <w:rsid w:val="00AD1A69"/>
    <w:rsid w:val="00AF286D"/>
    <w:rsid w:val="00B15635"/>
    <w:rsid w:val="00B3568E"/>
    <w:rsid w:val="00B505D1"/>
    <w:rsid w:val="00B91F3C"/>
    <w:rsid w:val="00BC601A"/>
    <w:rsid w:val="00BE32EF"/>
    <w:rsid w:val="00BF1924"/>
    <w:rsid w:val="00C017C6"/>
    <w:rsid w:val="00C037C3"/>
    <w:rsid w:val="00C13E06"/>
    <w:rsid w:val="00C205DD"/>
    <w:rsid w:val="00C5488A"/>
    <w:rsid w:val="00CD5018"/>
    <w:rsid w:val="00CE4B1E"/>
    <w:rsid w:val="00D2519E"/>
    <w:rsid w:val="00DA74D8"/>
    <w:rsid w:val="00DC3EB5"/>
    <w:rsid w:val="00DE47DF"/>
    <w:rsid w:val="00DF2E3B"/>
    <w:rsid w:val="00E073A2"/>
    <w:rsid w:val="00E5425E"/>
    <w:rsid w:val="00E703E1"/>
    <w:rsid w:val="00E70D36"/>
    <w:rsid w:val="00E70EBB"/>
    <w:rsid w:val="00E8003A"/>
    <w:rsid w:val="00E87EAE"/>
    <w:rsid w:val="00E93B7A"/>
    <w:rsid w:val="00EF3010"/>
    <w:rsid w:val="00F070D7"/>
    <w:rsid w:val="00F24F3A"/>
    <w:rsid w:val="00F70C0B"/>
    <w:rsid w:val="00F81E69"/>
    <w:rsid w:val="00FB22A4"/>
    <w:rsid w:val="00FD5F94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B667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8B14F-469C-4487-8B73-FAB3F077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oscar gibillini</cp:lastModifiedBy>
  <cp:revision>2</cp:revision>
  <cp:lastPrinted>2019-02-26T09:22:00Z</cp:lastPrinted>
  <dcterms:created xsi:type="dcterms:W3CDTF">2021-06-28T10:49:00Z</dcterms:created>
  <dcterms:modified xsi:type="dcterms:W3CDTF">2021-06-28T10:49:00Z</dcterms:modified>
</cp:coreProperties>
</file>